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BDA" w:rsidRDefault="0024520E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B06BDA" w:rsidRDefault="0024520E">
      <w:pPr>
        <w:jc w:val="center"/>
        <w:rPr>
          <w:szCs w:val="28"/>
        </w:rPr>
      </w:pPr>
      <w:r>
        <w:rPr>
          <w:b/>
          <w:szCs w:val="28"/>
        </w:rPr>
        <w:t xml:space="preserve">к решению Думы Артемовского городского округа </w:t>
      </w:r>
      <w:r>
        <w:rPr>
          <w:szCs w:val="28"/>
        </w:rPr>
        <w:t>«О внесении изменений в решение Думы Артемовского городского округа от 24.02.2016 № 589 «О структуре администрации Артемовского городского округа» (</w:t>
      </w:r>
      <w:r>
        <w:t>в ред. от 24</w:t>
      </w:r>
      <w:r>
        <w:t>.06</w:t>
      </w:r>
      <w:r>
        <w:t xml:space="preserve">.2025 </w:t>
      </w:r>
      <w:hyperlink r:id="rId7" w:history="1">
        <w:r>
          <w:t>№</w:t>
        </w:r>
      </w:hyperlink>
      <w:r>
        <w:t xml:space="preserve"> 50</w:t>
      </w:r>
      <w:bookmarkStart w:id="0" w:name="_GoBack"/>
      <w:bookmarkEnd w:id="0"/>
      <w:r>
        <w:t>8</w:t>
      </w:r>
      <w:r>
        <w:rPr>
          <w:szCs w:val="28"/>
        </w:rPr>
        <w:t>)»</w:t>
      </w:r>
    </w:p>
    <w:p w:rsidR="00B06BDA" w:rsidRDefault="00B06BDA">
      <w:pPr>
        <w:spacing w:line="276" w:lineRule="auto"/>
        <w:jc w:val="center"/>
        <w:rPr>
          <w:sz w:val="28"/>
          <w:szCs w:val="28"/>
        </w:rPr>
      </w:pPr>
    </w:p>
    <w:p w:rsidR="00B06BDA" w:rsidRDefault="00B06BDA">
      <w:pPr>
        <w:spacing w:line="276" w:lineRule="auto"/>
        <w:jc w:val="center"/>
        <w:rPr>
          <w:sz w:val="28"/>
          <w:szCs w:val="28"/>
        </w:rPr>
      </w:pPr>
    </w:p>
    <w:p w:rsidR="00B06BDA" w:rsidRDefault="0024520E">
      <w:pPr>
        <w:spacing w:line="360" w:lineRule="auto"/>
        <w:ind w:firstLine="709"/>
        <w:jc w:val="both"/>
      </w:pPr>
      <w:r>
        <w:t>Управление делами и организационной работы координирует деятельность органов п</w:t>
      </w:r>
      <w:r>
        <w:t>о решению вопросов местного значения и иных полномочий, относящихся к деятельности администрации Артемовского городского округа, главы Артемовского городского округа; ведет составление сводных планов работы, планов мероприятий различной направленности на р</w:t>
      </w:r>
      <w:r>
        <w:t>азно срочную перспективу; обеспечивает организационно-техническую подготовку общегородских мероприятий, проводимых с участием главы округа, в том числе направленных на осуществление представительских полномочий; ведет подготовку и проведение выездных встре</w:t>
      </w:r>
      <w:r>
        <w:t xml:space="preserve">ч главы, с участием руководителей органов округа, с населением. </w:t>
      </w:r>
    </w:p>
    <w:p w:rsidR="00B06BDA" w:rsidRDefault="0024520E">
      <w:pPr>
        <w:numPr>
          <w:ilvl w:val="0"/>
          <w:numId w:val="1"/>
        </w:numPr>
        <w:tabs>
          <w:tab w:val="left" w:pos="992"/>
        </w:tabs>
        <w:spacing w:line="360" w:lineRule="auto"/>
        <w:ind w:left="0" w:firstLine="709"/>
        <w:jc w:val="both"/>
      </w:pPr>
      <w:r>
        <w:t>В настоящее время лингвистическую экспертизу муниципальных правовых актов осуществляют 2 специалиста управления делами и организационной работы, которые проводят оценку соответствия текста пр</w:t>
      </w:r>
      <w:r>
        <w:t>оверяемых документов нормам современного русского литературного языка с учётом особенностей языка нормативных правовых актов, что позволяет повысить юридическое, техническое, языковое, грамматическое, стилистическое качество документов муниципальных правов</w:t>
      </w:r>
      <w:r>
        <w:t>ых актов главы и администрации Артемовского городского округа. Также осуществляют частичную экспертизу нормативно-правовой базы: соответствие перечисленных правовых актов действующему законодательству Российской Федерации, в том числе сверку даты, номера и</w:t>
      </w:r>
      <w:r>
        <w:t xml:space="preserve"> наименования нормативного правового акта, его последней действующей редакции. Помимо экспертизы проектов документов главы и администрации Артемовского городского округа специалисты управления осуществляют проверку решений Думы Артемовского городского окру</w:t>
      </w:r>
      <w:r>
        <w:t>га, подписываемых как главой округа, так и председателем Думы.</w:t>
      </w:r>
    </w:p>
    <w:p w:rsidR="00B06BDA" w:rsidRDefault="0024520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t>Специалисты управления осуществляют методическую помощь работникам администрации в использовании текстовых редакторов при подготовке проектов документов, в том числе консультирование по использ</w:t>
      </w:r>
      <w:r>
        <w:t xml:space="preserve">ованию нового программного обеспечения </w:t>
      </w:r>
      <w:r>
        <w:rPr>
          <w:lang w:val="en-US"/>
        </w:rPr>
        <w:t>Astra</w:t>
      </w:r>
      <w:r>
        <w:t xml:space="preserve"> </w:t>
      </w:r>
      <w:r>
        <w:rPr>
          <w:lang w:val="en-US"/>
        </w:rPr>
        <w:t>Linux</w:t>
      </w:r>
      <w:r>
        <w:t xml:space="preserve"> и нового текстового редактора Р7-Офис. При переходе на российское программное обеспечение происходит конфликт текстовых редакторов (искажение настроек форматирования при переводе документа из одного тексто</w:t>
      </w:r>
      <w:r>
        <w:t>вого редактора в другой), в данном случае специалисты администрации не всегда могут сами справиться с корректировкой документа, поэтому специалисты управления делами осуществляют это самостоятельно, а также данными специалистами разработана новая Инструкци</w:t>
      </w:r>
      <w:r>
        <w:t xml:space="preserve">я по делопроизводству в администрации Артемовского городского округа в связи с изменениями в законодательстве Российской Федерации, ГОСТ по библиографическому и архивному делопроизводству. </w:t>
      </w:r>
    </w:p>
    <w:p w:rsidR="00B06BDA" w:rsidRDefault="0024520E">
      <w:pPr>
        <w:widowControl w:val="0"/>
        <w:spacing w:line="360" w:lineRule="auto"/>
        <w:ind w:firstLine="709"/>
        <w:jc w:val="both"/>
      </w:pPr>
      <w:r>
        <w:t>Во избежание ошибок в сведениях о персональных и иных исходных дан</w:t>
      </w:r>
      <w:r>
        <w:t xml:space="preserve">ных </w:t>
      </w:r>
      <w:r>
        <w:lastRenderedPageBreak/>
        <w:t>специалисты управления осуществляют сверку данных сведений с приложенными документами (Ф.И.О., прописка, кадастровые номера, адреса, сметы, расчеты и т.д.). Для более качественной работы специалисты управления осуществляют мониторинг изменений в юридик</w:t>
      </w:r>
      <w:r>
        <w:t xml:space="preserve">о-техническом оформлении нормативных правовых актов, в том числе работа с ГОСТ, методическими рекомендациями, осуществляют обмен опытом с другими органами власти в части подготовки и оформления нормативных правовых документов. </w:t>
      </w:r>
    </w:p>
    <w:p w:rsidR="00B06BDA" w:rsidRDefault="0024520E">
      <w:pPr>
        <w:spacing w:line="360" w:lineRule="auto"/>
        <w:ind w:firstLine="709"/>
        <w:jc w:val="both"/>
        <w:rPr>
          <w:spacing w:val="-2"/>
        </w:rPr>
      </w:pPr>
      <w:r>
        <w:t>На основании изложенного, дл</w:t>
      </w:r>
      <w:r>
        <w:t xml:space="preserve">я повышения эффективности организационных процессов требуется введение комплексного системного подхода, включающего в себя осуществление качественной координации планирования, организации и контроля деятельности, считаю необходимым и обоснованным ввести в </w:t>
      </w:r>
      <w:r>
        <w:t xml:space="preserve">состав управления делами и организационной работы отдел лингвистической экспертизы. </w:t>
      </w:r>
      <w:r>
        <w:rPr>
          <w:spacing w:val="-2"/>
        </w:rPr>
        <w:t>Должность начальника отдела лингвистической экспертизы управления делами и организационной работы будет создана за счет вывода должности главного специалиста 1 разряда упра</w:t>
      </w:r>
      <w:r>
        <w:rPr>
          <w:spacing w:val="-2"/>
        </w:rPr>
        <w:t xml:space="preserve">вления делами и организационной работы администрации Артемовского городского округа.  </w:t>
      </w:r>
    </w:p>
    <w:p w:rsidR="00B06BDA" w:rsidRDefault="0024520E">
      <w:pPr>
        <w:spacing w:line="360" w:lineRule="auto"/>
        <w:ind w:firstLine="709"/>
        <w:jc w:val="both"/>
      </w:pPr>
      <w:r>
        <w:t>Для изменения структуры и введения штатной единицы начальника отдела в управлении вместо главного специалиста 1 разряда с 01.01.2026 потребуются дополнительные бюджетные</w:t>
      </w:r>
      <w:r>
        <w:t xml:space="preserve"> ассигнования в сумме 479 267,45 рублей.</w:t>
      </w:r>
    </w:p>
    <w:p w:rsidR="00B06BDA" w:rsidRDefault="0024520E">
      <w:pPr>
        <w:spacing w:line="360" w:lineRule="auto"/>
        <w:ind w:firstLine="709"/>
        <w:jc w:val="both"/>
        <w:rPr>
          <w:u w:val="single"/>
        </w:rPr>
      </w:pPr>
      <w:r>
        <w:rPr>
          <w:u w:val="single"/>
        </w:rPr>
        <w:t xml:space="preserve">Кроме этого, возникла необходимость в введении двух отделом в составе органов местного самоуправления администрации Артемовского городского округа, а именно: </w:t>
      </w:r>
    </w:p>
    <w:p w:rsidR="00B06BDA" w:rsidRDefault="0024520E">
      <w:pPr>
        <w:pStyle w:val="a3"/>
        <w:numPr>
          <w:ilvl w:val="0"/>
          <w:numId w:val="3"/>
        </w:numPr>
        <w:tabs>
          <w:tab w:val="left" w:pos="992"/>
        </w:tabs>
        <w:spacing w:line="360" w:lineRule="auto"/>
        <w:ind w:left="0" w:firstLine="709"/>
        <w:jc w:val="both"/>
        <w:rPr>
          <w:spacing w:val="-2"/>
        </w:rPr>
      </w:pPr>
      <w:r>
        <w:rPr>
          <w:u w:val="single"/>
        </w:rPr>
        <w:t>в составе управления жизнеобеспечения</w:t>
      </w:r>
      <w:r>
        <w:t xml:space="preserve"> администрации Арте</w:t>
      </w:r>
      <w:r>
        <w:t xml:space="preserve">мовского городского округа раздела «Отраслевые органы администрации Артемовского городского округа» приложения к решению - </w:t>
      </w:r>
      <w:r>
        <w:rPr>
          <w:u w:val="single"/>
        </w:rPr>
        <w:t>отдел организации открытых конкурсов по управлению МКД</w:t>
      </w:r>
      <w:r>
        <w:t>.</w:t>
      </w:r>
      <w:r>
        <w:t xml:space="preserve"> </w:t>
      </w:r>
    </w:p>
    <w:p w:rsidR="00B06BDA" w:rsidRDefault="0024520E">
      <w:pPr>
        <w:spacing w:line="360" w:lineRule="auto"/>
        <w:ind w:firstLine="709"/>
        <w:jc w:val="both"/>
      </w:pPr>
      <w:r>
        <w:t xml:space="preserve">- </w:t>
      </w:r>
      <w:r>
        <w:rPr>
          <w:u w:val="single"/>
        </w:rPr>
        <w:t>в составе управления жилищной политики</w:t>
      </w:r>
      <w:r>
        <w:t xml:space="preserve"> </w:t>
      </w:r>
      <w:r>
        <w:t>администрации Артемовского городско</w:t>
      </w:r>
      <w:r>
        <w:t xml:space="preserve">го округа раздела «Отраслевые органы администрации Артемовского городского округа» приложения к решению – отдел приватизации.  </w:t>
      </w:r>
      <w:r>
        <w:t xml:space="preserve"> </w:t>
      </w:r>
    </w:p>
    <w:p w:rsidR="00B06BDA" w:rsidRDefault="0024520E">
      <w:pPr>
        <w:spacing w:line="360" w:lineRule="auto"/>
        <w:ind w:firstLine="709"/>
        <w:jc w:val="both"/>
      </w:pPr>
      <w:r>
        <w:t>На сегодняшний день, в соответствии с Поручениями Губернатора ПК, муниципалитетам поставлена задача о создании Муниципальных уп</w:t>
      </w:r>
      <w:r>
        <w:t>равляющих организаций. В Артемовском городском округе, данная задача будет реализована путем смены типа МКУ «УУСМЖФ» в МБУ «УУСМЖФ», для того, чтобы учреждение имело возможность осуществлять платные виды услуг по управлению многоквартирными домами, не отно</w:t>
      </w:r>
      <w:r>
        <w:t>сящиеся к полномочиям органа местного самоуправления.</w:t>
      </w:r>
    </w:p>
    <w:p w:rsidR="00B06BDA" w:rsidRDefault="0024520E">
      <w:pPr>
        <w:spacing w:line="290" w:lineRule="auto"/>
        <w:ind w:firstLine="708"/>
        <w:jc w:val="both"/>
        <w:rPr>
          <w:sz w:val="28"/>
          <w:szCs w:val="28"/>
        </w:rPr>
      </w:pPr>
      <w:r>
        <w:t>За МКУ УУСМЖФ были закреплены следующие функции и полномочия муниципалитета:</w:t>
      </w:r>
    </w:p>
    <w:p w:rsidR="00B06BDA" w:rsidRDefault="0024520E">
      <w:pPr>
        <w:pStyle w:val="a3"/>
        <w:numPr>
          <w:ilvl w:val="0"/>
          <w:numId w:val="5"/>
        </w:numPr>
        <w:spacing w:line="290" w:lineRule="auto"/>
        <w:jc w:val="both"/>
        <w:rPr>
          <w:sz w:val="28"/>
          <w:szCs w:val="28"/>
        </w:rPr>
      </w:pPr>
      <w:r>
        <w:t>приватизация муниципального жилищного фонда,</w:t>
      </w:r>
    </w:p>
    <w:p w:rsidR="00B06BDA" w:rsidRDefault="0024520E">
      <w:pPr>
        <w:pStyle w:val="a3"/>
        <w:numPr>
          <w:ilvl w:val="0"/>
          <w:numId w:val="5"/>
        </w:numPr>
        <w:spacing w:line="290" w:lineRule="auto"/>
        <w:jc w:val="both"/>
        <w:rPr>
          <w:sz w:val="28"/>
          <w:szCs w:val="28"/>
        </w:rPr>
      </w:pPr>
      <w:r>
        <w:t>подготовка конкурсной документации, организация проведения открытых конкурсов по</w:t>
      </w:r>
      <w:r>
        <w:t xml:space="preserve"> отбору управляющей организации для управления МКД,</w:t>
      </w:r>
    </w:p>
    <w:p w:rsidR="00B06BDA" w:rsidRDefault="0024520E">
      <w:pPr>
        <w:pStyle w:val="a3"/>
        <w:numPr>
          <w:ilvl w:val="0"/>
          <w:numId w:val="5"/>
        </w:numPr>
        <w:spacing w:line="290" w:lineRule="auto"/>
        <w:jc w:val="both"/>
        <w:rPr>
          <w:sz w:val="28"/>
          <w:szCs w:val="28"/>
        </w:rPr>
      </w:pPr>
      <w:r>
        <w:t>начисление платы за найм муниципального жилищного фонда.</w:t>
      </w:r>
    </w:p>
    <w:p w:rsidR="00B06BDA" w:rsidRDefault="0024520E">
      <w:pPr>
        <w:spacing w:line="290" w:lineRule="auto"/>
        <w:ind w:firstLine="708"/>
        <w:jc w:val="both"/>
        <w:rPr>
          <w:sz w:val="28"/>
          <w:szCs w:val="28"/>
        </w:rPr>
      </w:pPr>
      <w:r>
        <w:lastRenderedPageBreak/>
        <w:t xml:space="preserve">В соответствии с пунктом 3 ст. 16 Федерального закона № 131-ФЗ к полномочиям органа местного самоуправления  относится,  в том числе </w:t>
      </w:r>
      <w:r>
        <w:t>«владение, пользование и распоряжение имуществом, находящимся в муниципальной собственности муниципального, городского округа». Законом от 04.07.1991 № 1541-1 «О приватизации жилищного фонда в Российской Федерации» в соответствии со ст. 6, закреплено, что</w:t>
      </w:r>
      <w:r>
        <w:t xml:space="preserve"> </w:t>
      </w:r>
      <w:r>
        <w:t xml:space="preserve">передача муниципальных жилых помещений в собственность граждан (приватизация) осуществляется </w:t>
      </w:r>
      <w:r>
        <w:t xml:space="preserve"> органами местного самоуправления. </w:t>
      </w:r>
    </w:p>
    <w:p w:rsidR="00B06BDA" w:rsidRDefault="0024520E">
      <w:pPr>
        <w:spacing w:line="290" w:lineRule="auto"/>
        <w:ind w:firstLine="708"/>
        <w:jc w:val="both"/>
        <w:rPr>
          <w:sz w:val="28"/>
          <w:szCs w:val="28"/>
        </w:rPr>
      </w:pPr>
      <w:r>
        <w:t>Во исполнение статьи 161 Жилищного Кодекса Российской Федерации</w:t>
      </w:r>
      <w:r>
        <w:t>, а также в соответствии с порядком, утвержденным постановлением</w:t>
      </w:r>
      <w:r>
        <w:t xml:space="preserve">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орган местного самоуправления обязан проводить открытые </w:t>
      </w:r>
      <w:r>
        <w:t>конкурсы по отбору управляющей организации. Процедура проведения конкурсов включает в том числе подготовку, размещение конкурсной документации, обследование многоквартирных домов, составление актов, смет, расчет тарифа.</w:t>
      </w:r>
    </w:p>
    <w:p w:rsidR="00B06BDA" w:rsidRDefault="0024520E">
      <w:pPr>
        <w:spacing w:line="290" w:lineRule="auto"/>
        <w:ind w:firstLine="708"/>
        <w:jc w:val="both"/>
        <w:rPr>
          <w:sz w:val="28"/>
          <w:szCs w:val="28"/>
        </w:rPr>
      </w:pPr>
      <w:r>
        <w:t>Начисление платы за найм –  это полн</w:t>
      </w:r>
      <w:r>
        <w:t xml:space="preserve">омочия администратора доходов бюджета. Только у казенного учреждения доход идет в бюджет АГО. </w:t>
      </w:r>
    </w:p>
    <w:p w:rsidR="00B06BDA" w:rsidRDefault="0024520E">
      <w:pPr>
        <w:spacing w:line="290" w:lineRule="auto"/>
        <w:ind w:firstLine="708"/>
        <w:jc w:val="both"/>
        <w:rPr>
          <w:sz w:val="28"/>
          <w:szCs w:val="28"/>
        </w:rPr>
      </w:pPr>
      <w:r>
        <w:t>Таким образом,  в соответствии с требованиями федерального законодательства те виды услуг, которые непосредственно связаны с муниципальными полномочиями и функци</w:t>
      </w:r>
      <w:r>
        <w:t>ями,  в случае смены типа УУСМЖФ не сможет осуществлять.</w:t>
      </w:r>
    </w:p>
    <w:p w:rsidR="00B06BDA" w:rsidRDefault="0024520E">
      <w:pPr>
        <w:spacing w:line="290" w:lineRule="auto"/>
        <w:jc w:val="both"/>
        <w:rPr>
          <w:sz w:val="28"/>
          <w:szCs w:val="28"/>
        </w:rPr>
      </w:pPr>
      <w:r>
        <w:tab/>
        <w:t>В связи с этим, сотрудников, непосредственно связанных с вышеперечисленными функциями предлагается вывести из штата МКУ «УСЖМФ» и включить в штат администрации АГО.</w:t>
      </w:r>
    </w:p>
    <w:p w:rsidR="00B06BDA" w:rsidRDefault="0024520E">
      <w:pPr>
        <w:spacing w:line="290" w:lineRule="auto"/>
        <w:jc w:val="both"/>
        <w:rPr>
          <w:sz w:val="28"/>
          <w:szCs w:val="28"/>
        </w:rPr>
      </w:pPr>
      <w:r>
        <w:tab/>
        <w:t>7 штатных единиц:</w:t>
      </w:r>
    </w:p>
    <w:p w:rsidR="00B06BDA" w:rsidRDefault="0024520E">
      <w:pPr>
        <w:spacing w:line="290" w:lineRule="auto"/>
        <w:jc w:val="both"/>
        <w:rPr>
          <w:sz w:val="28"/>
          <w:szCs w:val="28"/>
        </w:rPr>
      </w:pPr>
      <w:r>
        <w:tab/>
        <w:t xml:space="preserve">2 человека – </w:t>
      </w:r>
      <w:r>
        <w:t>отдел приватизации,</w:t>
      </w:r>
    </w:p>
    <w:p w:rsidR="00B06BDA" w:rsidRDefault="0024520E">
      <w:pPr>
        <w:spacing w:line="290" w:lineRule="auto"/>
        <w:jc w:val="both"/>
        <w:rPr>
          <w:sz w:val="28"/>
          <w:szCs w:val="28"/>
        </w:rPr>
      </w:pPr>
      <w:r>
        <w:tab/>
        <w:t>1 человек – начисление платы за найм,</w:t>
      </w:r>
    </w:p>
    <w:p w:rsidR="00B06BDA" w:rsidRDefault="0024520E">
      <w:pPr>
        <w:spacing w:line="290" w:lineRule="auto"/>
        <w:jc w:val="both"/>
        <w:rPr>
          <w:sz w:val="28"/>
          <w:szCs w:val="28"/>
        </w:rPr>
      </w:pPr>
      <w:r>
        <w:tab/>
        <w:t>4 человека – проведение открытых конкурсов.</w:t>
      </w:r>
    </w:p>
    <w:p w:rsidR="00B06BDA" w:rsidRDefault="0024520E">
      <w:pPr>
        <w:spacing w:line="360" w:lineRule="auto"/>
        <w:ind w:firstLine="709"/>
        <w:jc w:val="both"/>
      </w:pPr>
      <w:r>
        <w:t xml:space="preserve">Для изменения структуры и введения указанных штатных единиц потребуются дополнительные бюджетные ассигнования, которые будут переданы из </w:t>
      </w:r>
      <w:r>
        <w:t>МКУ «УСЖМФ»</w:t>
      </w:r>
      <w:r>
        <w:t>.</w:t>
      </w:r>
    </w:p>
    <w:p w:rsidR="00B06BDA" w:rsidRDefault="00B06BDA">
      <w:pPr>
        <w:spacing w:line="290" w:lineRule="auto"/>
        <w:ind w:left="1417"/>
        <w:jc w:val="both"/>
      </w:pPr>
    </w:p>
    <w:p w:rsidR="00B06BDA" w:rsidRDefault="00B06BDA">
      <w:pPr>
        <w:spacing w:line="360" w:lineRule="auto"/>
        <w:ind w:firstLine="709"/>
        <w:jc w:val="both"/>
      </w:pPr>
    </w:p>
    <w:p w:rsidR="00B06BDA" w:rsidRDefault="0024520E">
      <w:pPr>
        <w:spacing w:line="276" w:lineRule="auto"/>
      </w:pPr>
      <w:r>
        <w:t xml:space="preserve">Начальник  управления делами </w:t>
      </w:r>
    </w:p>
    <w:p w:rsidR="00B06BDA" w:rsidRDefault="0024520E">
      <w:pPr>
        <w:spacing w:line="276" w:lineRule="auto"/>
      </w:pPr>
      <w:r>
        <w:t xml:space="preserve">и организационной  работы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О.А. Русанова </w:t>
      </w:r>
    </w:p>
    <w:p w:rsidR="00B06BDA" w:rsidRDefault="00B06BDA">
      <w:pPr>
        <w:spacing w:line="276" w:lineRule="auto"/>
      </w:pPr>
    </w:p>
    <w:p w:rsidR="00B06BDA" w:rsidRDefault="00B06BDA">
      <w:pPr>
        <w:spacing w:line="276" w:lineRule="auto"/>
      </w:pPr>
    </w:p>
    <w:p w:rsidR="00B06BDA" w:rsidRDefault="00B06BDA">
      <w:pPr>
        <w:spacing w:line="276" w:lineRule="auto"/>
      </w:pPr>
    </w:p>
    <w:p w:rsidR="00B06BDA" w:rsidRDefault="00B06BDA">
      <w:pPr>
        <w:spacing w:line="276" w:lineRule="auto"/>
      </w:pPr>
    </w:p>
    <w:p w:rsidR="00B06BDA" w:rsidRDefault="00B06BDA">
      <w:pPr>
        <w:spacing w:line="276" w:lineRule="auto"/>
      </w:pPr>
    </w:p>
    <w:p w:rsidR="00B06BDA" w:rsidRDefault="00B06BDA">
      <w:pPr>
        <w:spacing w:line="276" w:lineRule="auto"/>
      </w:pPr>
    </w:p>
    <w:p w:rsidR="00B06BDA" w:rsidRDefault="00B06BDA">
      <w:pPr>
        <w:spacing w:line="276" w:lineRule="auto"/>
      </w:pPr>
    </w:p>
    <w:p w:rsidR="00B06BDA" w:rsidRDefault="00B06BDA">
      <w:pPr>
        <w:spacing w:line="276" w:lineRule="auto"/>
      </w:pPr>
    </w:p>
    <w:p w:rsidR="00B06BDA" w:rsidRDefault="00B06BDA">
      <w:pPr>
        <w:spacing w:line="276" w:lineRule="auto"/>
      </w:pPr>
    </w:p>
    <w:p w:rsidR="00B06BDA" w:rsidRDefault="0024520E">
      <w:pPr>
        <w:spacing w:line="276" w:lineRule="auto"/>
      </w:pPr>
      <w:r>
        <w:t>Исаева Ирина Анатольевна</w:t>
      </w:r>
    </w:p>
    <w:p w:rsidR="00B06BDA" w:rsidRDefault="0024520E">
      <w:pPr>
        <w:spacing w:line="276" w:lineRule="auto"/>
      </w:pPr>
      <w:r>
        <w:t xml:space="preserve">4-23-82                      </w:t>
      </w:r>
    </w:p>
    <w:p w:rsidR="00B06BDA" w:rsidRDefault="0024520E">
      <w:pPr>
        <w:spacing w:line="276" w:lineRule="auto"/>
      </w:pPr>
      <w:r>
        <w:tab/>
      </w:r>
      <w:r>
        <w:tab/>
      </w:r>
      <w:r>
        <w:tab/>
      </w:r>
      <w:r>
        <w:tab/>
      </w:r>
    </w:p>
    <w:sectPr w:rsidR="00B06BDA">
      <w:headerReference w:type="default" r:id="rId8"/>
      <w:pgSz w:w="11906" w:h="16838"/>
      <w:pgMar w:top="568" w:right="56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BDA" w:rsidRDefault="0024520E">
      <w:r>
        <w:separator/>
      </w:r>
    </w:p>
  </w:endnote>
  <w:endnote w:type="continuationSeparator" w:id="0">
    <w:p w:rsidR="00B06BDA" w:rsidRDefault="0024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BDA" w:rsidRDefault="0024520E">
      <w:r>
        <w:separator/>
      </w:r>
    </w:p>
  </w:footnote>
  <w:footnote w:type="continuationSeparator" w:id="0">
    <w:p w:rsidR="00B06BDA" w:rsidRDefault="00245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BDA" w:rsidRDefault="0024520E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B06BDA" w:rsidRDefault="00B06BD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85F00"/>
    <w:multiLevelType w:val="hybridMultilevel"/>
    <w:tmpl w:val="998C0766"/>
    <w:lvl w:ilvl="0" w:tplc="11E2548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2B5A95B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51AD15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CF9646E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8FAF38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0228FCC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0B8755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9D08ABF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484941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88A273E"/>
    <w:multiLevelType w:val="hybridMultilevel"/>
    <w:tmpl w:val="56FC6042"/>
    <w:lvl w:ilvl="0" w:tplc="4612779A">
      <w:start w:val="1"/>
      <w:numFmt w:val="decimal"/>
      <w:lvlText w:val="%1."/>
      <w:lvlJc w:val="left"/>
      <w:pPr>
        <w:ind w:left="1418" w:hanging="360"/>
      </w:pPr>
    </w:lvl>
    <w:lvl w:ilvl="1" w:tplc="D0FCD104">
      <w:start w:val="1"/>
      <w:numFmt w:val="lowerLetter"/>
      <w:lvlText w:val="%2."/>
      <w:lvlJc w:val="left"/>
      <w:pPr>
        <w:ind w:left="2138" w:hanging="360"/>
      </w:pPr>
    </w:lvl>
    <w:lvl w:ilvl="2" w:tplc="060A1CB2">
      <w:start w:val="1"/>
      <w:numFmt w:val="lowerRoman"/>
      <w:lvlText w:val="%3."/>
      <w:lvlJc w:val="right"/>
      <w:pPr>
        <w:ind w:left="2858" w:hanging="180"/>
      </w:pPr>
    </w:lvl>
    <w:lvl w:ilvl="3" w:tplc="5B0EB78A">
      <w:start w:val="1"/>
      <w:numFmt w:val="decimal"/>
      <w:lvlText w:val="%4."/>
      <w:lvlJc w:val="left"/>
      <w:pPr>
        <w:ind w:left="3578" w:hanging="360"/>
      </w:pPr>
    </w:lvl>
    <w:lvl w:ilvl="4" w:tplc="D0422F52">
      <w:start w:val="1"/>
      <w:numFmt w:val="lowerLetter"/>
      <w:lvlText w:val="%5."/>
      <w:lvlJc w:val="left"/>
      <w:pPr>
        <w:ind w:left="4298" w:hanging="360"/>
      </w:pPr>
    </w:lvl>
    <w:lvl w:ilvl="5" w:tplc="C414CBA6">
      <w:start w:val="1"/>
      <w:numFmt w:val="lowerRoman"/>
      <w:lvlText w:val="%6."/>
      <w:lvlJc w:val="right"/>
      <w:pPr>
        <w:ind w:left="5018" w:hanging="180"/>
      </w:pPr>
    </w:lvl>
    <w:lvl w:ilvl="6" w:tplc="380460F8">
      <w:start w:val="1"/>
      <w:numFmt w:val="decimal"/>
      <w:lvlText w:val="%7."/>
      <w:lvlJc w:val="left"/>
      <w:pPr>
        <w:ind w:left="5738" w:hanging="360"/>
      </w:pPr>
    </w:lvl>
    <w:lvl w:ilvl="7" w:tplc="A490B5E6">
      <w:start w:val="1"/>
      <w:numFmt w:val="lowerLetter"/>
      <w:lvlText w:val="%8."/>
      <w:lvlJc w:val="left"/>
      <w:pPr>
        <w:ind w:left="6458" w:hanging="360"/>
      </w:pPr>
    </w:lvl>
    <w:lvl w:ilvl="8" w:tplc="BDE6A41C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28545918"/>
    <w:multiLevelType w:val="hybridMultilevel"/>
    <w:tmpl w:val="823A69A4"/>
    <w:lvl w:ilvl="0" w:tplc="26640C1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53508D4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6ACDD20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450B01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00C2E3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D52DB2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4AC230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D834031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E33AB55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3D9B1A87"/>
    <w:multiLevelType w:val="hybridMultilevel"/>
    <w:tmpl w:val="D362DF16"/>
    <w:lvl w:ilvl="0" w:tplc="0956A2C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FA764D1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96497B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DF30C03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1763DD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D703C5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DE8B66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114A90B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9D0D3F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7738007E"/>
    <w:multiLevelType w:val="hybridMultilevel"/>
    <w:tmpl w:val="1DFEDD82"/>
    <w:lvl w:ilvl="0" w:tplc="6AB05F5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9A0E789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F0478D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15C1E5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E5CA69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0FC330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37EFCA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F6F84E1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DCC9D9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DA"/>
    <w:rsid w:val="0024520E"/>
    <w:rsid w:val="00B0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5CD926-E017-40F7-9FDD-AD4F70937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link w:val="af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1">
    <w:name w:val="Название объекта Знак"/>
    <w:link w:val="af0"/>
    <w:uiPriority w:val="35"/>
    <w:rPr>
      <w:b/>
      <w:bCs/>
      <w:color w:val="4F81BD" w:themeColor="accent1"/>
      <w:sz w:val="18"/>
      <w:szCs w:val="18"/>
    </w:rPr>
  </w:style>
  <w:style w:type="table" w:styleId="af2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3">
    <w:name w:val="Hyperlink"/>
    <w:rPr>
      <w:color w:val="000000"/>
      <w:u w:val="none"/>
      <w:vertAlign w:val="baseline"/>
    </w:rPr>
  </w:style>
  <w:style w:type="paragraph" w:styleId="af4">
    <w:name w:val="footnote text"/>
    <w:basedOn w:val="a"/>
    <w:link w:val="af5"/>
    <w:uiPriority w:val="99"/>
    <w:semiHidden/>
    <w:unhideWhenUsed/>
    <w:pPr>
      <w:spacing w:after="40"/>
    </w:pPr>
    <w:rPr>
      <w:sz w:val="18"/>
    </w:rPr>
  </w:style>
  <w:style w:type="character" w:customStyle="1" w:styleId="af5">
    <w:name w:val="Текст сноски Знак"/>
    <w:link w:val="af4"/>
    <w:uiPriority w:val="99"/>
    <w:rPr>
      <w:sz w:val="18"/>
    </w:rPr>
  </w:style>
  <w:style w:type="character" w:styleId="af6">
    <w:name w:val="footnote reference"/>
    <w:uiPriority w:val="99"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Pr>
      <w:sz w:val="20"/>
    </w:rPr>
  </w:style>
  <w:style w:type="character" w:customStyle="1" w:styleId="af8">
    <w:name w:val="Текст концевой сноски Знак"/>
    <w:link w:val="af7"/>
    <w:uiPriority w:val="99"/>
    <w:rPr>
      <w:sz w:val="20"/>
    </w:rPr>
  </w:style>
  <w:style w:type="character" w:styleId="af9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Без интервала Знак"/>
    <w:link w:val="a4"/>
    <w:uiPriority w:val="1"/>
    <w:rPr>
      <w:rFonts w:ascii="Times New Roman" w:eastAsia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Pr>
      <w:rFonts w:ascii="Times New Roman" w:eastAsia="Times New Roman" w:hAnsi="Times New Roman"/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25">
    <w:name w:val="Body Text 2"/>
    <w:basedOn w:val="a"/>
    <w:link w:val="26"/>
    <w:uiPriority w:val="99"/>
    <w:pPr>
      <w:spacing w:line="360" w:lineRule="auto"/>
      <w:jc w:val="both"/>
    </w:pPr>
    <w:rPr>
      <w:szCs w:val="20"/>
    </w:rPr>
  </w:style>
  <w:style w:type="character" w:customStyle="1" w:styleId="26">
    <w:name w:val="Основной текст 2 Знак"/>
    <w:link w:val="25"/>
    <w:uiPriority w:val="9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01B81C8EF81E2CC18DA42E0609A4D81641D59FE35A13735212505CC3A74FF16380A8DFED4B539927DB021C107FEB2FCD6F7B196D17422E0C3ED3EFd9d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1165</Words>
  <Characters>6641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админ</cp:lastModifiedBy>
  <cp:revision>22</cp:revision>
  <dcterms:created xsi:type="dcterms:W3CDTF">2021-04-14T23:28:00Z</dcterms:created>
  <dcterms:modified xsi:type="dcterms:W3CDTF">2026-01-27T01:40:00Z</dcterms:modified>
  <cp:version>983040</cp:version>
</cp:coreProperties>
</file>